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</w:t>
      </w:r>
      <w:r>
        <w:rPr>
          <w:rFonts w:eastAsia="Arial" w:cs="Arial" w:ascii="Arial" w:hAnsi="Arial"/>
          <w:position w:val="2"/>
          <w:sz w:val="22"/>
          <w:lang w:val="pl-PL"/>
        </w:rPr>
        <w:t>25</w:t>
      </w:r>
      <w:r>
        <w:rPr>
          <w:rFonts w:eastAsia="Arial" w:cs="Arial" w:ascii="Arial" w:hAnsi="Arial"/>
          <w:position w:val="2"/>
          <w:sz w:val="22"/>
          <w:lang w:val="pl-PL"/>
        </w:rPr>
        <w:t>.2021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</w:t>
      </w:r>
      <w:r>
        <w:rPr>
          <w:rFonts w:eastAsia="Arial" w:cs="Arial" w:ascii="Arial" w:hAnsi="Arial"/>
          <w:sz w:val="22"/>
          <w:lang w:val="pl-PL"/>
        </w:rPr>
        <w:t>21</w:t>
      </w:r>
      <w:r>
        <w:rPr>
          <w:rFonts w:eastAsia="Arial" w:cs="Arial" w:ascii="Arial" w:hAnsi="Arial"/>
          <w:sz w:val="22"/>
          <w:lang w:val="pl-PL"/>
        </w:rPr>
        <w:t>.</w:t>
      </w:r>
      <w:r>
        <w:rPr>
          <w:rFonts w:eastAsia="Arial" w:cs="Arial" w:ascii="Arial" w:hAnsi="Arial"/>
          <w:sz w:val="22"/>
          <w:lang w:val="pl-PL"/>
        </w:rPr>
        <w:t>10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.2021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 xml:space="preserve">lokali mieszkalnych  </w:t>
      </w:r>
      <w:r>
        <w:rPr>
          <w:rFonts w:eastAsia="Arial" w:cs="Arial" w:ascii="Arial" w:hAnsi="Arial"/>
          <w:b/>
          <w:bCs/>
          <w:sz w:val="26"/>
          <w:szCs w:val="26"/>
          <w:lang w:val="pl-PL"/>
        </w:rPr>
        <w:t>przeznaczonych</w:t>
      </w:r>
      <w:r>
        <w:rPr>
          <w:rFonts w:eastAsia="Arial" w:cs="Arial" w:ascii="Arial" w:hAnsi="Arial"/>
          <w:b/>
          <w:bCs/>
          <w:sz w:val="26"/>
          <w:szCs w:val="26"/>
          <w:lang w:val="pl-PL"/>
        </w:rPr>
        <w:t xml:space="preserve"> do sprzedaży najemcom wraz ze zbyciem  na współwłasność udziału w działce w trybie bezprzetargowym</w:t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215/11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</w:t>
            </w:r>
            <w:r>
              <w:rPr>
                <w:rFonts w:eastAsia="Arial" w:cs="Arial" w:ascii="Arial" w:hAnsi="Arial"/>
              </w:rPr>
              <w:t>06992/8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1026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Chopina 1/12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i kierunków zagospodarowania miasta Szczytno teren zabudowy mieszkaniowo-usługowej </w:t>
            </w:r>
          </w:p>
          <w:p>
            <w:pPr>
              <w:pStyle w:val="Tekstpodstawowy2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mieszkaniowej wielorodzinnej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2.893,00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2.459,05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433,95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210.527,00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178.947,95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31.579,05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/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15/1000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2.893,00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2.603,70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289,30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210.527,00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189.474,30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21.052,70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332/2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</w:t>
            </w:r>
            <w:r>
              <w:rPr>
                <w:rFonts w:eastAsia="Arial" w:cs="Arial" w:ascii="Arial" w:hAnsi="Arial"/>
              </w:rPr>
              <w:t>5671/5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409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cs="Arial" w:ascii="Arial" w:hAnsi="Arial"/>
                <w:bCs/>
              </w:rPr>
              <w:t>Kościuszki 17/17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W miejscow</w:t>
            </w:r>
            <w:r>
              <w:rPr>
                <w:rFonts w:eastAsia="Arial" w:cs="Arial" w:ascii="Arial" w:hAnsi="Arial"/>
                <w:sz w:val="21"/>
                <w:szCs w:val="21"/>
              </w:rPr>
              <w:t>ym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plan</w:t>
            </w:r>
            <w:r>
              <w:rPr>
                <w:rFonts w:eastAsia="Arial" w:cs="Arial" w:ascii="Arial" w:hAnsi="Arial"/>
                <w:sz w:val="21"/>
                <w:szCs w:val="21"/>
              </w:rPr>
              <w:t>ie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</w:t>
            </w:r>
            <w:r>
              <w:rPr>
                <w:rFonts w:eastAsia="Arial" w:cs="Arial" w:ascii="Arial" w:hAnsi="Arial"/>
                <w:sz w:val="21"/>
                <w:szCs w:val="21"/>
              </w:rPr>
              <w:t>B w rejonie ulic: Kościuszki i Chrobrego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przeznaczenie podstawowe: zabudowa mieszkalno - usługowa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2.209,00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1.877,65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331,35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136.201,00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115.770,85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20.430,15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2</w:t>
            </w: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2.209,00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1.988,10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220,90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136.201,00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122.580,90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13.620,10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2020 , poz. 1990 </w:t>
      </w:r>
      <w:r>
        <w:rPr>
          <w:rFonts w:eastAsia="Arial" w:cs="Arial" w:ascii="Arial" w:hAnsi="Arial"/>
          <w:sz w:val="21"/>
          <w:szCs w:val="21"/>
          <w:lang w:val="pl-PL"/>
        </w:rPr>
        <w:t>z późn.zm</w:t>
      </w:r>
      <w:r>
        <w:rPr>
          <w:rFonts w:eastAsia="Arial" w:cs="Arial" w:ascii="Arial" w:hAnsi="Arial"/>
          <w:sz w:val="21"/>
          <w:szCs w:val="21"/>
          <w:lang w:val="pl-PL"/>
        </w:rPr>
        <w:t xml:space="preserve">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lub ich  spadkobiercy mogą składać wnioski o nabycie nieruchomości w terminie do </w:t>
      </w:r>
      <w:r>
        <w:rPr>
          <w:rFonts w:eastAsia="Arial" w:cs="Arial" w:ascii="Arial" w:hAnsi="Arial"/>
          <w:color w:val="00000A"/>
          <w:kern w:val="0"/>
          <w:sz w:val="21"/>
          <w:szCs w:val="21"/>
          <w:lang w:val="pl-PL" w:eastAsia="zh-CN" w:bidi="ar-SA"/>
        </w:rPr>
        <w:t>03.12</w:t>
      </w:r>
      <w:r>
        <w:rPr>
          <w:rFonts w:eastAsia="Arial" w:cs="Arial" w:ascii="Arial" w:hAnsi="Arial"/>
          <w:sz w:val="21"/>
          <w:szCs w:val="21"/>
          <w:lang w:val="pl-PL"/>
        </w:rPr>
        <w:t>.2021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4152</TotalTime>
  <Application>LibreOffice/6.3.4.2$Windows_X86_64 LibreOffice_project/60da17e045e08f1793c57c00ba83cdfce946d0aa</Application>
  <Pages>1</Pages>
  <Words>348</Words>
  <Characters>2256</Characters>
  <CharactersWithSpaces>2626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2021-10-21T13:04:56Z</cp:lastPrinted>
  <dcterms:modified xsi:type="dcterms:W3CDTF">2021-10-21T13:05:11Z</dcterms:modified>
  <cp:revision>95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