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jc w:val="right"/>
        <w:rPr>
          <w:rFonts w:ascii="Times New Roman" w:hAnsi="Times New Roman"/>
          <w:b/>
          <w:b/>
          <w:color w:val="000000"/>
          <w:sz w:val="21"/>
          <w:szCs w:val="21"/>
        </w:rPr>
      </w:pPr>
      <w:bookmarkStart w:id="0" w:name="__DdeLink__433_1481829554"/>
      <w:r>
        <w:rPr>
          <w:rFonts w:ascii="Times New Roman" w:hAnsi="Times New Roman"/>
          <w:color w:val="000000"/>
          <w:sz w:val="21"/>
          <w:szCs w:val="21"/>
        </w:rPr>
        <w:t>PROJEKT</w:t>
      </w:r>
      <w:bookmarkEnd w:id="0"/>
    </w:p>
    <w:p>
      <w:pPr>
        <w:pStyle w:val="Tekstwstpniesformatowany"/>
        <w:jc w:val="right"/>
        <w:rPr>
          <w:rFonts w:ascii="Times New Roman" w:hAnsi="Times New Roman"/>
          <w:b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</w:r>
    </w:p>
    <w:p>
      <w:pPr>
        <w:pStyle w:val="Tekstwstpniesformatowany"/>
        <w:jc w:val="center"/>
        <w:rPr/>
      </w:pPr>
      <w:bookmarkStart w:id="1" w:name="__DdeLink__432_2705345595"/>
      <w:bookmarkEnd w:id="1"/>
      <w:r>
        <w:rPr>
          <w:rFonts w:ascii="Times New Roman" w:hAnsi="Times New Roman"/>
          <w:b/>
          <w:color w:val="000000"/>
          <w:sz w:val="21"/>
          <w:szCs w:val="21"/>
        </w:rPr>
        <w:t>UCHWAŁA NR ______/_____/2020</w:t>
      </w:r>
    </w:p>
    <w:p>
      <w:pPr>
        <w:pStyle w:val="Tekstwstpniesformatowany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1"/>
        </w:rPr>
        <w:t>RADY MIEJSKIEJ W SZCZYTNIE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1"/>
          <w:szCs w:val="21"/>
        </w:rPr>
        <w:t xml:space="preserve">   </w:t>
      </w:r>
      <w:r>
        <w:rPr>
          <w:rFonts w:ascii="Times New Roman" w:hAnsi="Times New Roman"/>
          <w:b/>
          <w:color w:val="000000"/>
          <w:sz w:val="21"/>
          <w:szCs w:val="21"/>
        </w:rPr>
        <w:t>z dnia  ________________ 2020 r.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FF3333"/>
          <w:sz w:val="21"/>
          <w:szCs w:val="21"/>
        </w:rPr>
      </w:pPr>
      <w:r>
        <w:rPr>
          <w:rFonts w:ascii="Times New Roman" w:hAnsi="Times New Roman"/>
          <w:b/>
          <w:color w:val="FF3333"/>
          <w:sz w:val="21"/>
          <w:szCs w:val="21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zmieniająca uchwałę w sprawie ustalenia szczegółowego sposobu i</w:t>
      </w:r>
      <w:r>
        <w:rPr>
          <w:rFonts w:eastAsia="Times New Roman" w:cs="Times New Roman" w:ascii="Times New Roman" w:hAnsi="Times New Roman"/>
          <w:b/>
          <w:color w:val="000000"/>
          <w:sz w:val="21"/>
          <w:szCs w:val="21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zakresu świadczenia usług w</w:t>
      </w:r>
      <w:r>
        <w:rPr>
          <w:rFonts w:eastAsia="Times New Roman" w:cs="Times New Roman" w:ascii="Times New Roman" w:hAnsi="Times New Roman"/>
          <w:b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zakresie odbierania odpadów komunalnych od właścicieli nieruchomości i</w:t>
      </w:r>
      <w:r>
        <w:rPr>
          <w:rFonts w:eastAsia="Times New Roman" w:cs="Times New Roman" w:ascii="Times New Roman" w:hAnsi="Times New Roman"/>
          <w:b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zagospodarowania tych odpadów w</w:t>
      </w:r>
      <w:r>
        <w:rPr>
          <w:rFonts w:eastAsia="Times New Roman" w:cs="Times New Roman" w:ascii="Times New Roman" w:hAnsi="Times New Roman"/>
          <w:b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zamian za uiszczoną przez właściciela nieruchomości opłatę za gospodarowanie odpadami komunalnymi, w</w:t>
      </w:r>
      <w:r>
        <w:rPr>
          <w:rFonts w:eastAsia="Times New Roman" w:cs="Times New Roman" w:ascii="Times New Roman" w:hAnsi="Times New Roman"/>
          <w:b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szczególności ilość odpadów komunalnych odbieranych od właściciela nieruchomości, częstotliwość odbierania odpadów komunalnych od właściciela nieruchomości i</w:t>
      </w:r>
      <w:r>
        <w:rPr>
          <w:rFonts w:eastAsia="Times New Roman" w:cs="Times New Roman" w:ascii="Times New Roman" w:hAnsi="Times New Roman"/>
          <w:b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sposób świadczenia usług przez punkty selektywnego zbierania odpadów komunalnych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color w:val="000000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color w:val="000000"/>
          <w:sz w:val="21"/>
          <w:szCs w:val="21"/>
        </w:rPr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Na podstawie art. 18 ust. 2  pkt. 15 ustawy z  dnia 8  marca 1990 r. o  samorządzie gminnym (Dz. U. z 2020 r., poz. 713 i 1378) oraz art. 6r ust. 3  ustawy z dnia 13 września 1996 r. o utrzymaniu czystości i porządku w  gminach (Dz. U. z 2020 r., poz. 1439) Rada Miejska w  Szczytnie uchwala, co następuje: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§ 1. W uchwale nr XX/153/2020 Rady Miejskiej w Szczytnie z dnia 30 czerwca 2020 r. w sprawie ustalenia szczegółowego sposobu i  zakresu świadczenia usług w zakresie odbierania odpadów komunalnych od właścicieli nieruchomości i zagospodarowania tych odpadów w zamian za uiszczoną przez właściciela nieruchomości opłatę za gospodarowanie odpadami komunalnymi, w szczególności ilość odpadów komunalnych odbieranych od właściciela nieruchomości, częstotliwość odbierania odpadów komunalnych od właściciela nieruchomości i sposób świadczenia usług przez punkty selektywnego zbierania odpadów komunalnych zmienionej uchwałą nr XXII/164/2020 r.  Rady Miejskiej w Szczytnie  z dnia 27 sierpnia 2020 r. § 3</w:t>
      </w:r>
      <w:bookmarkStart w:id="2" w:name="bookmark_17"/>
      <w:bookmarkEnd w:id="2"/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otrzymuje brzmienie:</w:t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/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</w:r>
    </w:p>
    <w:p>
      <w:pPr>
        <w:pStyle w:val="Tekstwstpniesformatowany"/>
        <w:shd w:val="clear" w:color="auto" w:fill="FFFFFF"/>
        <w:tabs>
          <w:tab w:val="clear" w:pos="709"/>
          <w:tab w:val="left" w:pos="8670" w:leader="none"/>
          <w:tab w:val="left" w:pos="9525" w:leader="none"/>
        </w:tabs>
        <w:jc w:val="both"/>
        <w:rPr/>
      </w:pPr>
      <w:bookmarkStart w:id="3" w:name="__DdeLink__796_2263710179"/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„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§ 3. Odpady komunalne odbierane są z nieruchomości z następującą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częstotliwością: </w:t>
      </w:r>
      <w:bookmarkStart w:id="4" w:name="bookmark_18"/>
      <w:bookmarkEnd w:id="3"/>
      <w:bookmarkEnd w:id="4"/>
    </w:p>
    <w:tbl>
      <w:tblPr>
        <w:tblW w:w="9645" w:type="dxa"/>
        <w:jc w:val="left"/>
        <w:tblInd w:w="23" w:type="dxa"/>
        <w:tblCellMar>
          <w:top w:w="60" w:type="dxa"/>
          <w:left w:w="52" w:type="dxa"/>
          <w:bottom w:w="0" w:type="dxa"/>
          <w:right w:w="60" w:type="dxa"/>
        </w:tblCellMar>
        <w:tblLook w:firstRow="0" w:noVBand="0" w:lastRow="0" w:firstColumn="0" w:lastColumn="0" w:noHBand="0" w:val="0000"/>
      </w:tblPr>
      <w:tblGrid>
        <w:gridCol w:w="506"/>
        <w:gridCol w:w="1549"/>
        <w:gridCol w:w="1375"/>
        <w:gridCol w:w="3493"/>
        <w:gridCol w:w="2722"/>
      </w:tblGrid>
      <w:tr>
        <w:trPr/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L.p.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Rodzaj odpadu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Nieruchomości zamieszkałe w zabudowie jednorodzinnej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Nieruchomości zamieszkałe w zabudowie wielorodzinnej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Domki letniskowe, nieruchomości rekreacyjno - wypoczynkowe</w:t>
            </w:r>
          </w:p>
        </w:tc>
      </w:tr>
      <w:tr>
        <w:trPr/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1)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Zmieszane odpady komunalne</w:t>
            </w:r>
          </w:p>
        </w:tc>
        <w:tc>
          <w:tcPr>
            <w:tcW w:w="1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nie rzadziej niż raz na trzy tygodnie w okresie od XI do III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od IV do X raz na dwa tygodnie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nie rzadziej niż raz w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tygodniu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w terminie uzgodnionym z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właścicielem nieruchomości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2)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Selektywnie zebrane frakcje odpadów komunalnych określone w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§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b,c,d,e,f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- raz na cztery tygodnie od X do IV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-  w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miesiącach letnich od V do IX raz na dwa tygodnie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- nie rzadziej niż raz na dwa tygodnie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-  lub po zgłoszeniu właściciela nieruchomości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w terminie uzgodnionym z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właścicielem nieruchomości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3)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- selektywnie zebrane bioodpady: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zielone (trawa, liście, drobne gałęzie, chwasty bez ziemi, kwiaty, kora),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kuchenne suche (fusy po kawie i herbacie, obierki, ogryzki, skorupki jajek, roślinne resztki żywności)</w:t>
            </w:r>
          </w:p>
        </w:tc>
        <w:tc>
          <w:tcPr>
            <w:tcW w:w="1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nie rzadziej niż raz na trzy tygodnie w okresie od XI do III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od IV do X raz na dwa tygodnie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raz w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tygodniu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lub po zgłoszeniu właściciela nieruchomości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w terminie uzgodnionym z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właścicielem nieruchomości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4)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Odpady komunalne wielkogabarytowe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w terminie uzgodnionym z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właścicielem nieruchomości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w terminie uzgodnionym z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właścicielem nieruchomości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w terminie uzgodnionym z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właścicielem nieruchomości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5)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Popiół</w:t>
            </w:r>
          </w:p>
        </w:tc>
        <w:tc>
          <w:tcPr>
            <w:tcW w:w="1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- raz na cztery tygodnie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- raz na cztery tygodnie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w terminie uzgodnionym z właścicielem nieruchomości  </w:t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8670" w:leader="none"/>
          <w:tab w:val="left" w:pos="9525" w:leader="none"/>
        </w:tabs>
        <w:spacing w:before="120" w:after="120"/>
        <w:jc w:val="both"/>
        <w:rPr>
          <w:rFonts w:ascii="Times New Roman" w:hAnsi="Times New Roman" w:eastAsia="Times New Roman" w:cs="Times New Roman"/>
          <w:bCs/>
          <w:color w:val="000000"/>
          <w:sz w:val="21"/>
          <w:szCs w:val="21"/>
        </w:rPr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8670" w:leader="none"/>
          <w:tab w:val="left" w:pos="9525" w:leader="none"/>
        </w:tabs>
        <w:spacing w:before="120" w:after="12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</w:rPr>
        <w:t>§  2.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Wykonanie uchwały powierza się Burmistrzowi Miasta Szczytno.</w:t>
      </w:r>
    </w:p>
    <w:p>
      <w:pPr>
        <w:pStyle w:val="Normal"/>
        <w:shd w:val="clear" w:color="auto" w:fill="FFFFFF"/>
        <w:tabs>
          <w:tab w:val="clear" w:pos="709"/>
          <w:tab w:val="left" w:pos="8670" w:leader="none"/>
          <w:tab w:val="left" w:pos="9525" w:leader="none"/>
        </w:tabs>
        <w:spacing w:before="120" w:after="120"/>
        <w:jc w:val="both"/>
        <w:rPr>
          <w:rFonts w:ascii="Times New Roman" w:hAnsi="Times New Roman"/>
          <w:color w:val="000000"/>
          <w:sz w:val="21"/>
          <w:szCs w:val="21"/>
        </w:rPr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8670" w:leader="none"/>
          <w:tab w:val="left" w:pos="9525" w:leader="none"/>
        </w:tabs>
        <w:spacing w:before="120" w:after="120"/>
        <w:jc w:val="both"/>
        <w:rPr/>
      </w:pPr>
      <w:r>
        <w:rPr>
          <w:rFonts w:ascii="Times New Roman" w:hAnsi="Times New Roman"/>
          <w:color w:val="000000"/>
          <w:sz w:val="21"/>
          <w:szCs w:val="21"/>
        </w:rPr>
        <w:t xml:space="preserve">§ 3. </w:t>
      </w:r>
      <w:bookmarkStart w:id="5" w:name="bookmark_127"/>
      <w:bookmarkEnd w:id="5"/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Uchwała wchodzi w życie z dniem  1 lutego  2021 r. 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po uprzednim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ogłoszeniu w Dzienniku Urzędowym Województwa Warmińsko-Mazurskiego.</w:t>
      </w:r>
    </w:p>
    <w:p>
      <w:pPr>
        <w:pStyle w:val="Tekstwstpniesformatowany"/>
        <w:tabs>
          <w:tab w:val="clear" w:pos="709"/>
          <w:tab w:val="left" w:pos="8670" w:leader="none"/>
          <w:tab w:val="left" w:pos="9525" w:leader="none"/>
        </w:tabs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</w:r>
    </w:p>
    <w:p>
      <w:pPr>
        <w:pStyle w:val="Tekstwstpniesformatowany"/>
        <w:rPr/>
      </w:pPr>
      <w:r>
        <w:rPr>
          <w:rFonts w:ascii="Times New Roman" w:hAnsi="Times New Roman"/>
          <w:color w:val="000000"/>
          <w:sz w:val="21"/>
          <w:szCs w:val="21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PRZEWODNICZĄCY RADY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  <w:bookmarkStart w:id="6" w:name="_GoBack"/>
      <w:bookmarkStart w:id="7" w:name="_GoBack"/>
      <w:bookmarkEnd w:id="7"/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  <w:t>U Z A S A D N I E N I 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101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</w:r>
    </w:p>
    <w:p>
      <w:pPr>
        <w:pStyle w:val="Normal"/>
        <w:keepNext w:val="true"/>
        <w:shd w:val="clear" w:color="auto" w:fill="FFFFFF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color w:val="000101"/>
          <w:sz w:val="21"/>
          <w:szCs w:val="21"/>
        </w:rPr>
        <w:t xml:space="preserve">do </w:t>
      </w:r>
      <w:r>
        <w:rPr>
          <w:rFonts w:cs="Times New Roman" w:ascii="Times New Roman" w:hAnsi="Times New Roman"/>
          <w:b/>
          <w:color w:val="000101"/>
          <w:sz w:val="21"/>
          <w:szCs w:val="21"/>
        </w:rPr>
        <w:t xml:space="preserve">zmiany </w:t>
      </w:r>
      <w:r>
        <w:rPr>
          <w:rFonts w:cs="Times New Roman" w:ascii="Times New Roman" w:hAnsi="Times New Roman"/>
          <w:b/>
          <w:color w:val="000101"/>
          <w:sz w:val="21"/>
          <w:szCs w:val="21"/>
        </w:rPr>
        <w:t xml:space="preserve">uchwały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w sprawie ustalenia szczegółowego sposobu i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zakresu świadczenia usług w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zakresie odbierania odpadów komunalnych od właścicieli nieruchomości i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zagospodarowania tych odpadów w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zamian za uiszczoną przez właściciela nieruchomości opłatę za gospodarowanie odpadami komunalnymi, w szczególności ilość odpadów komunalnych odbieranych od właściciela nieruchomości, częstotliwość odbierania odpadów komunalnych od właściciela nieruchomości i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sposób świadczenia usług przez punkty selektywnego zbierania odpadów komunalnych.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FF0066"/>
        </w:rPr>
      </w:pPr>
      <w:r>
        <w:rPr>
          <w:rFonts w:eastAsia="Times New Roman" w:cs="Times New Roman" w:ascii="Times New Roman" w:hAnsi="Times New Roman"/>
          <w:color w:val="FF0066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Wprowadza się zmiany w </w:t>
      </w:r>
      <w:bookmarkStart w:id="8" w:name="__DdeLink__1280_2556524508"/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§ 3</w:t>
      </w:r>
      <w:bookmarkEnd w:id="8"/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uchwały w sprawie ustalenia szczegółowego sposobu i  zakresu świadczenia usług w zakresie odbierania odpadów komunalnych od właścicieli nieruchomości i zagospodarowania tych odpadów w zamian za uiszczoną przez właściciela nieruchomości opłatę za gospodarowanie odpadami komunalnymi, w szczególności ilość odpadów komunalnych odbieranych od właściciela nieruchomości, częstotliwość odbierania odpadów komunalnych od właściciela nieruchomości i sposób świadczenia usług przez punkty selektywnego zbierania odpadów komunalnych, poprzez zmianę jego treści</w:t>
      </w:r>
      <w:bookmarkStart w:id="9" w:name="bookmark_181"/>
      <w:bookmarkEnd w:id="9"/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z ,,3. Odbiór odpadów komunalnych odbywa się z częstotliwością:</w:t>
      </w:r>
    </w:p>
    <w:tbl>
      <w:tblPr>
        <w:tblW w:w="9645" w:type="dxa"/>
        <w:jc w:val="left"/>
        <w:tblInd w:w="23" w:type="dxa"/>
        <w:tblCellMar>
          <w:top w:w="60" w:type="dxa"/>
          <w:left w:w="52" w:type="dxa"/>
          <w:bottom w:w="0" w:type="dxa"/>
          <w:right w:w="60" w:type="dxa"/>
        </w:tblCellMar>
        <w:tblLook w:firstRow="0" w:noVBand="0" w:lastRow="0" w:firstColumn="0" w:lastColumn="0" w:noHBand="0" w:val="0000"/>
      </w:tblPr>
      <w:tblGrid>
        <w:gridCol w:w="497"/>
        <w:gridCol w:w="1549"/>
        <w:gridCol w:w="1374"/>
        <w:gridCol w:w="1382"/>
        <w:gridCol w:w="1800"/>
        <w:gridCol w:w="1533"/>
        <w:gridCol w:w="1509"/>
      </w:tblGrid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L.p.   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Rodzaj odpadu   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Nieruchomości zamieszkałe w zabudowie jednorodzinnej   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Nieruchomości zamieszkałe w zabudowie wielorodzinnej  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Nieruchomości niezamieszkałe ogrodów działkowych   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Pozostałe nieruchomości niezamieszkałe   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Domki letniskowe, nieruchomości rekreacyjno - wypoczynkowe</w:t>
            </w:r>
          </w:p>
        </w:tc>
      </w:tr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1)   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Zmieszane odpady komunalne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nie rzadziej niż raz na trzy tygodnie w okresie od XI do III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od IV do X raz na dwa tygodnie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nie rzadziej niż raz w   tygodniu  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-  zgodnie ze  złożoną deklaracją lecz nie rzadziej niż raz w miesiącu w okresie od kwietnia do października; 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- w pozostałym okresie w terminie uzgodnionym z właścicielem nieruchomości 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- zgodnie ze złożoną deklaracją lecz nie rzadziej niż raz w miesiącu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 terminie uzgodnionym z właścicielem nieruchomości  </w:t>
            </w:r>
          </w:p>
        </w:tc>
      </w:tr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2)   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Selektywnie zebrane frakcje odpadów komunalnych określone w  §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 xml:space="preserve"> 2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b,c,d,e,f   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- raz na cztery tygodnie od X do IV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-  w miesiącach letnich od V do IX raz na dwa tygodnie   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- nie rzadziej niż raz na dwa tygodnie 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-  lub po zgłoszeniu właściciela nieruchomości  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- nie rzadziej niż raz na trzy tygodnie w   okresie od IV do X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- w   pozostałym okresie  w terminie uzgodnionym z właścicielem nieruchomości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- zgodnie ze złożoną deklaracją lecz nie rzadziej niż raz w miesiącu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 terminie uzgodnionym z właścicielem nieruchomości  </w:t>
            </w:r>
          </w:p>
        </w:tc>
      </w:tr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3)   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- selektywnie zebrane bioodpady: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zielone (trawa, liście, drobne gałęzie, chwasty bez ziemi, kwiaty, kora),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kuchenne suche (fusy po kawie i herbacie, obierki, ogryzki, skorupki jajek, roślinne resztki żywności)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nie rzadziej niż raz na trzy tygodnie w okresie od XI do III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od IV do X raz na dwa tygodnie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raz w tygodniu  lub po zgłoszeniu właściciela nieruchomości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----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----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 terminie uzgodnionym z   właścicielem nieruchomości  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</w:tr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4)   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Odpady komunalne wielkogabarytowe   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w terminie uzgodnionym z   właścicielem nieruchomości   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w terminie uzgodnionym z   właścicielem nieruchomości  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57" w:hanging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-----   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w terminie uzgodnionym z   właścicielem nieruchomości 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 </w:t>
            </w:r>
          </w:p>
        </w:tc>
      </w:tr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5)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Popiół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raz na cztery tygodnie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raz na cztery tygodnie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- - -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raz na cztery tygodnie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 terminie uzgodnionym z właścicielem nieruchomości  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na „3. Odpady komunalne odbierane są z nieruchomości z następującą częstotliwością: </w:t>
      </w:r>
    </w:p>
    <w:tbl>
      <w:tblPr>
        <w:tblW w:w="9645" w:type="dxa"/>
        <w:jc w:val="left"/>
        <w:tblInd w:w="23" w:type="dxa"/>
        <w:tblCellMar>
          <w:top w:w="60" w:type="dxa"/>
          <w:left w:w="52" w:type="dxa"/>
          <w:bottom w:w="0" w:type="dxa"/>
          <w:right w:w="60" w:type="dxa"/>
        </w:tblCellMar>
        <w:tblLook w:firstRow="0" w:noVBand="0" w:lastRow="0" w:firstColumn="0" w:lastColumn="0" w:noHBand="0" w:val="0000"/>
      </w:tblPr>
      <w:tblGrid>
        <w:gridCol w:w="497"/>
        <w:gridCol w:w="1548"/>
        <w:gridCol w:w="2320"/>
        <w:gridCol w:w="2553"/>
        <w:gridCol w:w="2727"/>
      </w:tblGrid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L.p.   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Rodzaj odpadu   </w:t>
            </w: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Nieruchomości zamieszkałe w zabudowie jednorodzinnej   </w:t>
            </w:r>
          </w:p>
        </w:tc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Nieruchomości zamieszkałe w zabudowie wielorodzinnej  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Domki letniskowe, nieruchomości rekreacyjno - wypoczynkowe</w:t>
            </w:r>
          </w:p>
        </w:tc>
      </w:tr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1)   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Zmieszane odpady komunalne</w:t>
            </w: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nie rzadziej niż raz na trzy tygodnie w okresie od XI do III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od IV do X raz na dwa tygodnie</w:t>
            </w:r>
          </w:p>
        </w:tc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nie rzadziej niż raz w   tygodniu  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 terminie uzgodnionym z właścicielem nieruchomości  </w:t>
            </w:r>
          </w:p>
        </w:tc>
      </w:tr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2)   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Selektywnie zebrane frakcje odpadów komunalnych określone w  §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 xml:space="preserve"> 2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b,c,d,e,f   </w:t>
            </w: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- raz na cztery tygodnie od X do IV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-  w miesiącach letnich od V do IX raz na dwa tygodnie   </w:t>
            </w:r>
          </w:p>
        </w:tc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- nie rzadziej niż raz na dwa tygodnie 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-  lub po zgłoszeniu właściciela nieruchomości  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 terminie uzgodnionym z właścicielem nieruchomości  </w:t>
            </w:r>
          </w:p>
        </w:tc>
      </w:tr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3)   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- selektywnie zebrane bioodpady: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zielone (trawa, liście, drobne gałęzie, chwasty bez ziemi, kwiaty, kora),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kuchenne suche (fusy po kawie i herbacie, obierki, ogryzki, skorupki jajek, roślinne resztki żywności)</w:t>
            </w: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nie rzadziej niż raz na trzy tygodnie w okresie od XI do III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od IV do X raz na dwa tygodnie</w:t>
            </w:r>
          </w:p>
        </w:tc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raz w tygodniu  lub po zgłoszeniu właściciela nieruchomości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 terminie uzgodnionym z   właścicielem nieruchomości  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</w:tr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4)   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Odpady komunalne wielkogabarytowe   </w:t>
            </w: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w terminie uzgodnionym z   właścicielem nieruchomości   </w:t>
            </w:r>
          </w:p>
        </w:tc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w terminie uzgodnionym z   właścicielem nieruchomości  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w terminie uzgodnionym z   właścicielem nieruchomości 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 </w:t>
            </w:r>
          </w:p>
        </w:tc>
      </w:tr>
      <w:tr>
        <w:trPr/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5)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14"/>
                <w:szCs w:val="14"/>
              </w:rPr>
              <w:t>Popiół</w:t>
            </w: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14"/>
                <w:szCs w:val="14"/>
              </w:rPr>
              <w:t>- raz na cztery tygodnie</w:t>
            </w:r>
          </w:p>
        </w:tc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14"/>
                <w:szCs w:val="14"/>
              </w:rPr>
              <w:t>- raz na cztery tygodnie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 terminie uzgodnionym z właścicielem nieruchomości  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ab/>
        <w:tab/>
        <w:tab/>
        <w:tab/>
        <w:tab/>
        <w:tab/>
        <w:tab/>
        <w:tab/>
        <w:tab/>
        <w:tab/>
        <w:t xml:space="preserve">  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Wobec powyższego uzasadnione jest podjęcie przedmiotowej uchwały przez Radę Miejską w Szczytnie.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</w:r>
    </w:p>
    <w:p>
      <w:pPr>
        <w:pStyle w:val="Normal"/>
        <w:spacing w:lineRule="auto" w:line="360"/>
        <w:ind w:firstLine="708"/>
        <w:jc w:val="righ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</w:r>
    </w:p>
    <w:p>
      <w:pPr>
        <w:pStyle w:val="Normal"/>
        <w:spacing w:lineRule="auto" w:line="360"/>
        <w:ind w:firstLine="708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BURMISTRZ MIASTA SZCZYTNO</w:t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  <w:tab/>
        <w:tab/>
        <w:tab/>
        <w:tab/>
        <w:tab/>
        <w:tab/>
        <w:tab/>
        <w:tab/>
        <w:tab/>
        <w:t xml:space="preserve">   </w:t>
      </w:r>
    </w:p>
    <w:p>
      <w:pPr>
        <w:pStyle w:val="Normal"/>
        <w:rPr/>
      </w:pPr>
      <w:bookmarkStart w:id="10" w:name="__DdeLink__1108_331555758"/>
      <w:r>
        <w:rPr>
          <w:rFonts w:ascii="Times New Roman" w:hAnsi="Times New Roman"/>
          <w:color w:val="000000"/>
          <w:sz w:val="21"/>
          <w:szCs w:val="21"/>
        </w:rPr>
        <w:tab/>
        <w:tab/>
        <w:tab/>
        <w:tab/>
        <w:tab/>
        <w:tab/>
        <w:tab/>
        <w:tab/>
        <w:tab/>
      </w:r>
      <w:bookmarkEnd w:id="10"/>
    </w:p>
    <w:sectPr>
      <w:type w:val="nextPage"/>
      <w:pgSz w:w="11906" w:h="16838"/>
      <w:pgMar w:left="1134" w:right="1134" w:header="0" w:top="720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ekstwstpniesformatowany" w:customStyle="1">
    <w:name w:val="Tekst wstępnie sformatowany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Przypisdolny">
    <w:name w:val="Footnote Text"/>
    <w:basedOn w:val="Normal"/>
    <w:qFormat/>
    <w:pPr/>
    <w:rPr>
      <w:sz w:val="20"/>
      <w:szCs w:val="20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Application>LibreOffice/6.3.4.2$Windows_X86_64 LibreOffice_project/60da17e045e08f1793c57c00ba83cdfce946d0aa</Application>
  <Pages>4</Pages>
  <Words>1180</Words>
  <Characters>7020</Characters>
  <CharactersWithSpaces>8512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cp:lastPrinted>2020-12-14T11:03:26Z</cp:lastPrinted>
  <dcterms:modified xsi:type="dcterms:W3CDTF">2020-12-14T11:03:12Z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